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A" w:rsidRPr="00085BB0" w:rsidRDefault="00BC27E3" w:rsidP="00DB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1" style="position:absolute;left:0;text-align:left;margin-left:358.3pt;margin-top:-61.65pt;width:55.5pt;height:18pt;z-index:251741184" stroked="f"/>
        </w:pict>
      </w:r>
      <w:r w:rsidR="00DB7DB5" w:rsidRPr="00085BB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B7DB5" w:rsidRPr="00085BB0" w:rsidRDefault="00DB7DB5" w:rsidP="00DB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B0">
        <w:rPr>
          <w:rFonts w:ascii="Times New Roman" w:hAnsi="Times New Roman" w:cs="Times New Roman"/>
          <w:b/>
          <w:sz w:val="24"/>
          <w:szCs w:val="24"/>
        </w:rPr>
        <w:t>METODOLOGI PENELITI</w:t>
      </w:r>
      <w:r w:rsidR="00085BB0">
        <w:rPr>
          <w:rFonts w:ascii="Times New Roman" w:hAnsi="Times New Roman" w:cs="Times New Roman"/>
          <w:b/>
          <w:sz w:val="24"/>
          <w:szCs w:val="24"/>
        </w:rPr>
        <w:t>A</w:t>
      </w:r>
      <w:r w:rsidRPr="00085BB0">
        <w:rPr>
          <w:rFonts w:ascii="Times New Roman" w:hAnsi="Times New Roman" w:cs="Times New Roman"/>
          <w:b/>
          <w:sz w:val="24"/>
          <w:szCs w:val="24"/>
        </w:rPr>
        <w:t>N</w:t>
      </w:r>
    </w:p>
    <w:p w:rsidR="00DB7DB5" w:rsidRDefault="00DB7DB5" w:rsidP="00DB7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B5" w:rsidRPr="00522AD1" w:rsidRDefault="00DB7DB5" w:rsidP="00DB7D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AD1">
        <w:rPr>
          <w:rFonts w:ascii="Times New Roman" w:hAnsi="Times New Roman" w:cs="Times New Roman"/>
          <w:b/>
          <w:sz w:val="24"/>
          <w:szCs w:val="24"/>
        </w:rPr>
        <w:t>MetodePenelitian</w:t>
      </w:r>
      <w:proofErr w:type="spellEnd"/>
    </w:p>
    <w:p w:rsidR="00DB7DB5" w:rsidRDefault="00522AD1" w:rsidP="009F578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 xml:space="preserve"> (</w:t>
      </w:r>
      <w:r w:rsidR="0059684A">
        <w:rPr>
          <w:rFonts w:ascii="Times New Roman" w:hAnsi="Times New Roman" w:cs="Times New Roman"/>
          <w:i/>
          <w:sz w:val="24"/>
          <w:szCs w:val="24"/>
        </w:rPr>
        <w:t>R</w:t>
      </w:r>
      <w:r w:rsidR="00DB7DB5" w:rsidRPr="0059684A">
        <w:rPr>
          <w:rFonts w:ascii="Times New Roman" w:hAnsi="Times New Roman" w:cs="Times New Roman"/>
          <w:i/>
          <w:sz w:val="24"/>
          <w:szCs w:val="24"/>
        </w:rPr>
        <w:t>esearch and Deve</w:t>
      </w:r>
      <w:r w:rsidR="00BB0345" w:rsidRPr="0059684A">
        <w:rPr>
          <w:rFonts w:ascii="Times New Roman" w:hAnsi="Times New Roman" w:cs="Times New Roman"/>
          <w:i/>
          <w:sz w:val="24"/>
          <w:szCs w:val="24"/>
        </w:rPr>
        <w:t>lopment</w:t>
      </w:r>
      <w:r w:rsidR="00BB034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4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4F">
        <w:rPr>
          <w:rFonts w:ascii="Times New Roman" w:hAnsi="Times New Roman" w:cs="Times New Roman"/>
          <w:sz w:val="24"/>
          <w:szCs w:val="24"/>
        </w:rPr>
        <w:t>S</w:t>
      </w:r>
      <w:r w:rsidR="00BB0345">
        <w:rPr>
          <w:rFonts w:ascii="Times New Roman" w:hAnsi="Times New Roman" w:cs="Times New Roman"/>
          <w:sz w:val="24"/>
          <w:szCs w:val="24"/>
        </w:rPr>
        <w:t>ugiyono</w:t>
      </w:r>
      <w:proofErr w:type="spellEnd"/>
      <w:r w:rsidR="00BB0345">
        <w:rPr>
          <w:rFonts w:ascii="Times New Roman" w:hAnsi="Times New Roman" w:cs="Times New Roman"/>
          <w:sz w:val="24"/>
          <w:szCs w:val="24"/>
        </w:rPr>
        <w:t xml:space="preserve"> (2011</w:t>
      </w:r>
      <w:proofErr w:type="gramStart"/>
      <w:r w:rsidR="00DB7DB5">
        <w:rPr>
          <w:rFonts w:ascii="Times New Roman" w:hAnsi="Times New Roman" w:cs="Times New Roman"/>
          <w:sz w:val="24"/>
          <w:szCs w:val="24"/>
        </w:rPr>
        <w:t xml:space="preserve">) 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="00DB7DB5">
        <w:rPr>
          <w:rFonts w:ascii="Times New Roman" w:hAnsi="Times New Roman" w:cs="Times New Roman"/>
          <w:sz w:val="24"/>
          <w:szCs w:val="24"/>
        </w:rPr>
        <w:t xml:space="preserve"> yang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="00DB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>.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Pr="00522AD1">
        <w:rPr>
          <w:rFonts w:ascii="Times New Roman" w:hAnsi="Times New Roman" w:cs="Times New Roman"/>
          <w:sz w:val="24"/>
          <w:szCs w:val="24"/>
        </w:rPr>
        <w:t>B</w:t>
      </w:r>
      <w:r w:rsidR="00DB7DB5">
        <w:rPr>
          <w:rFonts w:ascii="Times New Roman" w:hAnsi="Times New Roman" w:cs="Times New Roman"/>
          <w:sz w:val="24"/>
          <w:szCs w:val="24"/>
        </w:rPr>
        <w:t xml:space="preserve">org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Pr="00522AD1">
        <w:rPr>
          <w:rFonts w:ascii="Times New Roman" w:hAnsi="Times New Roman" w:cs="Times New Roman"/>
          <w:sz w:val="24"/>
          <w:szCs w:val="24"/>
        </w:rPr>
        <w:t>G</w:t>
      </w:r>
      <w:r w:rsidR="00DB7DB5">
        <w:rPr>
          <w:rFonts w:ascii="Times New Roman" w:hAnsi="Times New Roman" w:cs="Times New Roman"/>
          <w:sz w:val="24"/>
          <w:szCs w:val="24"/>
        </w:rPr>
        <w:t>all (</w:t>
      </w:r>
      <w:r w:rsidRPr="00522AD1">
        <w:rPr>
          <w:rFonts w:ascii="Times New Roman" w:hAnsi="Times New Roman" w:cs="Times New Roman"/>
          <w:sz w:val="24"/>
          <w:szCs w:val="24"/>
        </w:rPr>
        <w:t>S</w:t>
      </w:r>
      <w:r w:rsidR="00E83F4F">
        <w:rPr>
          <w:rFonts w:ascii="Times New Roman" w:hAnsi="Times New Roman" w:cs="Times New Roman"/>
          <w:sz w:val="24"/>
          <w:szCs w:val="24"/>
        </w:rPr>
        <w:t>ugiyono</w:t>
      </w:r>
      <w:proofErr w:type="gramStart"/>
      <w:r w:rsidR="00E83F4F">
        <w:rPr>
          <w:rFonts w:ascii="Times New Roman" w:hAnsi="Times New Roman" w:cs="Times New Roman"/>
          <w:sz w:val="24"/>
          <w:szCs w:val="24"/>
        </w:rPr>
        <w:t>,</w:t>
      </w:r>
      <w:r w:rsidR="00BB0345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="00DB7DB5">
        <w:rPr>
          <w:rFonts w:ascii="Times New Roman" w:hAnsi="Times New Roman" w:cs="Times New Roman"/>
          <w:sz w:val="24"/>
          <w:szCs w:val="24"/>
        </w:rPr>
        <w:t>).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motede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4F">
        <w:rPr>
          <w:rFonts w:ascii="Times New Roman" w:hAnsi="Times New Roman" w:cs="Times New Roman"/>
          <w:sz w:val="24"/>
          <w:szCs w:val="24"/>
        </w:rPr>
        <w:t>u</w:t>
      </w:r>
      <w:r w:rsidR="00DB7DB5">
        <w:rPr>
          <w:rFonts w:ascii="Times New Roman" w:hAnsi="Times New Roman" w:cs="Times New Roman"/>
          <w:sz w:val="24"/>
          <w:szCs w:val="24"/>
        </w:rPr>
        <w:t>n</w:t>
      </w:r>
      <w:r w:rsidR="00E83F4F">
        <w:rPr>
          <w:rFonts w:ascii="Times New Roman" w:hAnsi="Times New Roman" w:cs="Times New Roman"/>
          <w:sz w:val="24"/>
          <w:szCs w:val="24"/>
        </w:rPr>
        <w:t>t</w:t>
      </w:r>
      <w:r w:rsidR="00DB7DB5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memvalidasi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>.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7DB5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 xml:space="preserve"> Research and Development yang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7D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DB5" w:rsidRDefault="00BC27E3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3" style="position:absolute;left:0;text-align:left;margin-left:13.05pt;margin-top:5.05pt;width:406.1pt;height:197.65pt;z-index:251728896" coordorigin="2760,8538" coordsize="8122,4505">
            <v:rect id="_x0000_s1042" style="position:absolute;left:9644;top:9954;width:1238;height:1596">
              <v:stroke dashstyle="dash"/>
            </v:rect>
            <v:rect id="_x0000_s1041" style="position:absolute;left:2760;top:8538;width:8122;height:1398">
              <v:stroke dashstyle="dash"/>
            </v:rect>
            <v:rect id="_x0000_s1026" style="position:absolute;left:2891;top:8625;width:1339;height:1128">
              <v:textbox>
                <w:txbxContent>
                  <w:p w:rsidR="00A46E13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</w:rPr>
                      <w:t>Potensi</w:t>
                    </w:r>
                    <w:proofErr w:type="spellEnd"/>
                  </w:p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proofErr w:type="gramStart"/>
                    <w:r w:rsidRPr="00C3288A">
                      <w:rPr>
                        <w:rFonts w:ascii="Times New Roman" w:hAnsi="Times New Roman" w:cs="Times New Roman"/>
                        <w:sz w:val="24"/>
                      </w:rPr>
                      <w:t>dan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</w:rPr>
                      <w:t>Masalah</w:t>
                    </w:r>
                    <w:proofErr w:type="spellEnd"/>
                  </w:p>
                </w:txbxContent>
              </v:textbox>
            </v:rect>
            <v:rect id="_x0000_s1031" style="position:absolute;left:4659;top:8625;width:1650;height:955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</w:rPr>
                      <w:t>Pengumpulan</w:t>
                    </w:r>
                    <w:proofErr w:type="spellEnd"/>
                    <w:r w:rsidRPr="00C3288A">
                      <w:rPr>
                        <w:rFonts w:ascii="Times New Roman" w:hAnsi="Times New Roman" w:cs="Times New Roman"/>
                        <w:sz w:val="24"/>
                      </w:rPr>
                      <w:t xml:space="preserve"> data</w:t>
                    </w:r>
                  </w:p>
                </w:txbxContent>
              </v:textbox>
            </v:rect>
            <v:rect id="_x0000_s1032" style="position:absolute;left:6705;top:8625;width:1200;height:955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Desain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Produk</w:t>
                    </w:r>
                    <w:proofErr w:type="spellEnd"/>
                  </w:p>
                </w:txbxContent>
              </v:textbox>
            </v:rect>
            <v:rect id="_x0000_s1033" style="position:absolute;left:8226;top:8625;width:1149;height:838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ValidasiDesain</w:t>
                    </w:r>
                    <w:proofErr w:type="spellEnd"/>
                  </w:p>
                </w:txbxContent>
              </v:textbox>
            </v:rect>
            <v:rect id="_x0000_s1034" style="position:absolute;left:9777;top:8625;width:978;height:955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RevisiDesain</w:t>
                    </w:r>
                    <w:proofErr w:type="spellEnd"/>
                  </w:p>
                </w:txbxContent>
              </v:textbox>
            </v:rect>
            <v:rect id="_x0000_s1035" style="position:absolute;left:2891;top:10204;width:1339;height:1118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Potensi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Masalah</w:t>
                    </w:r>
                    <w:proofErr w:type="spellEnd"/>
                  </w:p>
                </w:txbxContent>
              </v:textbox>
            </v:rect>
            <v:rect id="_x0000_s1037" style="position:absolute;left:4743;top:10204;width:1218;height:838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Revisi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produk</w:t>
                    </w:r>
                    <w:proofErr w:type="spellEnd"/>
                  </w:p>
                </w:txbxContent>
              </v:textbox>
            </v:rect>
            <v:rect id="_x0000_s1038" style="position:absolute;left:6424;top:10204;width:1348;height:1016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Uji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coba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pemakaian</w:t>
                    </w:r>
                    <w:proofErr w:type="spellEnd"/>
                  </w:p>
                </w:txbxContent>
              </v:textbox>
            </v:rect>
            <v:rect id="_x0000_s1039" style="position:absolute;left:8196;top:10204;width:1020;height:838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RevisiProduk</w:t>
                    </w:r>
                    <w:proofErr w:type="spellEnd"/>
                  </w:p>
                </w:txbxContent>
              </v:textbox>
            </v:rect>
            <v:rect id="_x0000_s1040" style="position:absolute;left:9732;top:10204;width:1043;height:1211">
              <v:textbox>
                <w:txbxContent>
                  <w:p w:rsidR="00A46E13" w:rsidRPr="00C3288A" w:rsidRDefault="00A46E13" w:rsidP="005D66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Uji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Coba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Produk</w:t>
                    </w:r>
                    <w:proofErr w:type="spellEnd"/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4331;top:9022;width:218;height:258"/>
            <v:shape id="_x0000_s1045" type="#_x0000_t13" style="position:absolute;left:6424;top:9022;width:218;height:258"/>
            <v:shape id="_x0000_s1046" type="#_x0000_t13" style="position:absolute;left:7978;top:9022;width:218;height:258"/>
            <v:shape id="_x0000_s1047" type="#_x0000_t13" style="position:absolute;left:9426;top:8947;width:218;height:258"/>
            <v:shape id="_x0000_s1051" type="#_x0000_t13" style="position:absolute;left:9261;top:10483;width:235;height:258;flip:x"/>
            <v:shape id="_x0000_s1052" type="#_x0000_t13" style="position:absolute;left:7858;top:10483;width:235;height:258;flip:x"/>
            <v:shape id="_x0000_s1053" type="#_x0000_t13" style="position:absolute;left:6074;top:10483;width:235;height:258;flip:x"/>
            <v:shape id="_x0000_s1054" type="#_x0000_t13" style="position:absolute;left:4314;top:10483;width:235;height:258;flip:x"/>
            <v:rect id="_x0000_s1055" style="position:absolute;left:8868;top:11827;width:1907;height:1216">
              <v:stroke dashstyle="dash"/>
              <v:textbox>
                <w:txbxContent>
                  <w:p w:rsidR="00A46E13" w:rsidRPr="00C3288A" w:rsidRDefault="00A46E13" w:rsidP="00C6601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Batas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tahapan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penelitian</w:t>
                    </w:r>
                    <w:proofErr w:type="spellEnd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yang </w:t>
                    </w:r>
                    <w:proofErr w:type="spellStart"/>
                    <w:r w:rsidRPr="00C32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dilaksanakan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9732;top:11415;width:491;height:412;flip:x" o:connectortype="straight">
              <v:stroke endarrow="block"/>
            </v:shape>
            <v:rect id="_x0000_s1101" style="position:absolute;left:9644;top:9753;width:1131;height:385" strok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8" type="#_x0000_t67" style="position:absolute;left:10080;top:9664;width:291;height:375">
              <v:textbox style="layout-flow:vertical-ideographic"/>
            </v:shape>
          </v:group>
        </w:pict>
      </w:r>
    </w:p>
    <w:p w:rsidR="00B96868" w:rsidRDefault="00B96868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68" w:rsidRDefault="00B96868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68" w:rsidRDefault="00B96868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68" w:rsidRDefault="00BC27E3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405.15pt;margin-top:7.1pt;width:102.05pt;height:0;z-index:251673600" o:connectortype="straight" strokecolor="white [3212]" strokeweight="2pt"/>
        </w:pict>
      </w:r>
    </w:p>
    <w:p w:rsidR="00B96868" w:rsidRDefault="00B96868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68" w:rsidRDefault="00B96868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B5" w:rsidRPr="00B96868" w:rsidRDefault="00DB7DB5" w:rsidP="00B96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1B" w:rsidRDefault="005D663A" w:rsidP="005D663A">
      <w:pPr>
        <w:pStyle w:val="ListParagraph"/>
        <w:tabs>
          <w:tab w:val="left" w:pos="50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01B" w:rsidRDefault="00C6601B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A" w:rsidRDefault="007D489A" w:rsidP="00BB034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45" w:rsidRPr="00243113" w:rsidRDefault="00BB0345" w:rsidP="00BB034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2E2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322E2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22E2">
        <w:rPr>
          <w:rFonts w:ascii="Times New Roman" w:hAnsi="Times New Roman" w:cs="Times New Roman"/>
          <w:b/>
          <w:sz w:val="24"/>
          <w:szCs w:val="24"/>
        </w:rPr>
        <w:t>Langkah-langkahPenggunaanMetode Research and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Pr="00E322E2">
        <w:rPr>
          <w:rFonts w:ascii="Times New Roman" w:hAnsi="Times New Roman" w:cs="Times New Roman"/>
          <w:b/>
          <w:sz w:val="24"/>
          <w:szCs w:val="24"/>
        </w:rPr>
        <w:t>&amp;D)</w:t>
      </w:r>
    </w:p>
    <w:p w:rsidR="00BB0345" w:rsidRDefault="00BB0345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A" w:rsidRDefault="007D489A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A" w:rsidRDefault="007D489A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A" w:rsidRPr="00DB7DB5" w:rsidRDefault="007D489A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B5" w:rsidRPr="00EB23EB" w:rsidRDefault="00EB23EB" w:rsidP="00DB7D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3EB">
        <w:rPr>
          <w:rFonts w:ascii="Times New Roman" w:hAnsi="Times New Roman" w:cs="Times New Roman"/>
          <w:b/>
          <w:sz w:val="24"/>
          <w:szCs w:val="24"/>
        </w:rPr>
        <w:t>SubjekPenelitian</w:t>
      </w:r>
      <w:proofErr w:type="spellEnd"/>
    </w:p>
    <w:p w:rsidR="006215F2" w:rsidRDefault="00B96868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b</w:t>
      </w:r>
      <w:r w:rsidR="0059684A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ajar</w:t>
      </w:r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Ajar</w:t>
      </w:r>
      <w:r w:rsidR="00FF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E1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5F2" w:rsidRPr="009C7DF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215F2" w:rsidRPr="009C7DF4">
        <w:rPr>
          <w:rFonts w:ascii="Times New Roman" w:hAnsi="Times New Roman" w:cs="Times New Roman"/>
          <w:sz w:val="24"/>
          <w:szCs w:val="24"/>
        </w:rPr>
        <w:t xml:space="preserve"> data</w:t>
      </w:r>
      <w:r w:rsidR="006215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 w:rsidRPr="009C7D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215F2" w:rsidRPr="009C7D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5F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="00DF789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orang.</w:t>
      </w:r>
      <w:proofErr w:type="gram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789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9A">
        <w:rPr>
          <w:rFonts w:ascii="Times New Roman" w:hAnsi="Times New Roman" w:cs="Times New Roman"/>
          <w:sz w:val="24"/>
          <w:szCs w:val="24"/>
        </w:rPr>
        <w:t>t</w:t>
      </w:r>
      <w:r w:rsidR="006215F2">
        <w:rPr>
          <w:rFonts w:ascii="Times New Roman" w:hAnsi="Times New Roman" w:cs="Times New Roman"/>
          <w:sz w:val="24"/>
          <w:szCs w:val="24"/>
        </w:rPr>
        <w:t>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</w:t>
      </w:r>
      <w:r w:rsidR="006215F2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6215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Ajar</w:t>
      </w:r>
      <w:r w:rsidR="00621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345" w:rsidRDefault="00BB0345" w:rsidP="00DF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345" w:rsidRDefault="00BB0345" w:rsidP="006215F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868" w:rsidRPr="00EB23EB" w:rsidRDefault="00B96868" w:rsidP="00B96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3EB">
        <w:rPr>
          <w:rFonts w:ascii="Times New Roman" w:hAnsi="Times New Roman" w:cs="Times New Roman"/>
          <w:b/>
          <w:sz w:val="24"/>
          <w:szCs w:val="24"/>
        </w:rPr>
        <w:t>Alur</w:t>
      </w:r>
      <w:proofErr w:type="spellEnd"/>
      <w:r w:rsidR="00E83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3E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96868" w:rsidRPr="0085043C" w:rsidRDefault="00BC27E3" w:rsidP="0085043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-30.2pt;margin-top:18.4pt;width:447pt;height:263.6pt;z-index:251672575">
            <v:stroke dashstyle="dash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32.1pt;margin-top:18.4pt;width:0;height:569.45pt;z-index:251740160" o:connectortype="straight">
            <v:stroke dashstyle="dash"/>
          </v:shape>
        </w:pic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D1" w:rsidRPr="008504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D1" w:rsidRPr="0085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="00B96868" w:rsidRPr="0085043C">
        <w:rPr>
          <w:rFonts w:ascii="Times New Roman" w:hAnsi="Times New Roman" w:cs="Times New Roman"/>
          <w:sz w:val="24"/>
          <w:szCs w:val="24"/>
        </w:rPr>
        <w:t>di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68" w:rsidRPr="0085043C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96868" w:rsidRDefault="00BC27E3" w:rsidP="00DB7D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4" style="position:absolute;left:0;text-align:left;margin-left:-15.2pt;margin-top:5.95pt;width:339.25pt;height:543.95pt;z-index:251739136" coordorigin="1964,3215" coordsize="6785,10879">
            <v:rect id="_x0000_s1071" style="position:absolute;left:3890;top:10863;width:3014;height:638">
              <v:textbox style="mso-next-textbox:#_x0000_s1071">
                <w:txbxContent>
                  <w:p w:rsidR="00A46E13" w:rsidRPr="00B82B55" w:rsidRDefault="00A46E13" w:rsidP="00B37C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Wawancara</w:t>
                    </w:r>
                    <w:proofErr w:type="spellEnd"/>
                  </w:p>
                  <w:p w:rsidR="00A46E13" w:rsidRPr="00B82B55" w:rsidRDefault="00A46E13" w:rsidP="00B37CB4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  <v:rect id="_x0000_s1072" style="position:absolute;left:4270;top:11990;width:2109;height:820">
              <v:textbox style="mso-next-textbox:#_x0000_s1072">
                <w:txbxContent>
                  <w:p w:rsidR="00A46E13" w:rsidRPr="00B82B55" w:rsidRDefault="00A46E13" w:rsidP="00B37C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Analisis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D</w:t>
                    </w:r>
                    <w:r w:rsidRPr="00B82B55">
                      <w:rPr>
                        <w:rFonts w:ascii="Times New Roman" w:hAnsi="Times New Roman" w:cs="Times New Roman"/>
                        <w:sz w:val="24"/>
                      </w:rPr>
                      <w:t>ata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Pembahasan</w:t>
                    </w:r>
                    <w:proofErr w:type="spellEnd"/>
                  </w:p>
                  <w:p w:rsidR="00A46E13" w:rsidRPr="00B82B55" w:rsidRDefault="00A46E13" w:rsidP="00B37CB4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  <v:rect id="_x0000_s1073" style="position:absolute;left:4263;top:13308;width:2177;height:786">
              <v:textbox>
                <w:txbxContent>
                  <w:p w:rsidR="00A46E13" w:rsidRPr="00B82B55" w:rsidRDefault="00A46E13" w:rsidP="00B37C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B82B55">
                      <w:rPr>
                        <w:rFonts w:ascii="Times New Roman" w:hAnsi="Times New Roman" w:cs="Times New Roman"/>
                        <w:sz w:val="24"/>
                      </w:rPr>
                      <w:t>Kesimpulan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Saran</w:t>
                    </w:r>
                  </w:p>
                  <w:p w:rsidR="00A46E13" w:rsidRPr="00B82B55" w:rsidRDefault="00A46E13" w:rsidP="00B37CB4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  <v:shape id="_x0000_s1078" type="#_x0000_t32" style="position:absolute;left:5341;top:12810;width:0;height:498" o:connectortype="straight">
              <v:stroke endarrow="block"/>
            </v:shape>
            <v:shape id="_x0000_s1090" type="#_x0000_t32" style="position:absolute;left:3275;top:10496;width:4264;height:1" o:connectortype="straight"/>
            <v:shape id="_x0000_s1091" type="#_x0000_t32" style="position:absolute;left:3275;top:10129;width:0;height:367" o:connectortype="straight"/>
            <v:shape id="_x0000_s1092" type="#_x0000_t32" style="position:absolute;left:7539;top:10129;width:1;height:368" o:connectortype="straight"/>
            <v:shape id="_x0000_s1093" type="#_x0000_t32" style="position:absolute;left:5311;top:10496;width:0;height:367" o:connectortype="straight">
              <v:stroke endarrow="block"/>
            </v:shape>
            <v:shape id="_x0000_s1094" type="#_x0000_t32" style="position:absolute;left:5341;top:11501;width:0;height:489" o:connectortype="straight">
              <v:stroke endarrow="block"/>
            </v:shape>
            <v:group id="_x0000_s1113" style="position:absolute;left:1964;top:3215;width:6785;height:6914" coordorigin="1964,3215" coordsize="6785,6914">
              <v:rect id="_x0000_s1062" style="position:absolute;left:2181;top:6548;width:2082;height:521">
                <v:textbox style="mso-next-textbox:#_x0000_s1062">
                  <w:txbxContent>
                    <w:p w:rsidR="00A46E13" w:rsidRPr="00B82B55" w:rsidRDefault="00A46E13" w:rsidP="00B37C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validitas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066" style="position:absolute;left:3275;top:3215;width:3762;height:772">
                <v:textbox style="mso-next-textbox:#_x0000_s1066">
                  <w:txbxContent>
                    <w:p w:rsidR="00A46E13" w:rsidRPr="00B82B55" w:rsidRDefault="00A46E13" w:rsidP="00B37CB4">
                      <w:pPr>
                        <w:pStyle w:val="ListParagraph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Analisis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KD</w:t>
                      </w:r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Buku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 xml:space="preserve">Kimia,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buku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penunjang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067" style="position:absolute;left:5054;top:5237;width:3695;height:1110">
                <v:textbox style="mso-next-textbox:#_x0000_s1067">
                  <w:txbxContent>
                    <w:p w:rsidR="00A46E13" w:rsidRPr="00B82B55" w:rsidRDefault="00A46E13" w:rsidP="00B37C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Menyusun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bahan</w:t>
                      </w:r>
                      <w:proofErr w:type="spellEnd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 xml:space="preserve"> ajar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titrasi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asam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basa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melalui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Empat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Tahap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Pengolahan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Ajar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mandiri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068" style="position:absolute;left:2181;top:5228;width:2343;height:920">
                <v:textbox style="mso-next-textbox:#_x0000_s1068">
                  <w:txbxContent>
                    <w:p w:rsidR="00A46E13" w:rsidRPr="00B82B55" w:rsidRDefault="00A46E13" w:rsidP="00B37C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Pembuatan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instrumen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penelitian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069" style="position:absolute;left:2099;top:7425;width:2425;height:769">
                <v:textbox>
                  <w:txbxContent>
                    <w:p w:rsidR="00A46E13" w:rsidRPr="00B82B55" w:rsidRDefault="00A46E13" w:rsidP="00B37C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Revisi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instrumen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penelitian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  <v:rect id="_x0000_s1070" style="position:absolute;left:6065;top:9047;width:2684;height:1082">
                <v:textbox>
                  <w:txbxContent>
                    <w:p w:rsidR="00A46E13" w:rsidRPr="00B82B55" w:rsidRDefault="00A46E13" w:rsidP="00B37C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Penyebaran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Instrumen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Kelayakan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Bahan</w:t>
                      </w:r>
                      <w:proofErr w:type="spellEnd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ajar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Guru</w:t>
                      </w:r>
                    </w:p>
                    <w:p w:rsidR="00A46E13" w:rsidRPr="00B82B55" w:rsidRDefault="00A46E13" w:rsidP="00B37CB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  <v:shape id="_x0000_s1075" type="#_x0000_t32" style="position:absolute;left:3145;top:4875;width:0;height:353" o:connectortype="straight">
                <v:stroke endarrow="block"/>
              </v:shape>
              <v:shape id="_x0000_s1076" type="#_x0000_t32" style="position:absolute;left:7362;top:4884;width:0;height:353" o:connectortype="straight">
                <v:stroke endarrow="block"/>
              </v:shape>
              <v:shape id="_x0000_s1080" type="#_x0000_t32" style="position:absolute;left:3145;top:4875;width:4217;height:0" o:connectortype="straight"/>
              <v:shape id="_x0000_s1084" type="#_x0000_t32" style="position:absolute;left:3181;top:6148;width:0;height:400" o:connectortype="straight">
                <v:stroke endarrow="block"/>
              </v:shape>
              <v:shape id="_x0000_s1085" type="#_x0000_t32" style="position:absolute;left:3210;top:8680;width:4217;height:0" o:connectortype="straight"/>
              <v:rect id="_x0000_s1086" style="position:absolute;left:1964;top:9047;width:2805;height:1082">
                <v:textbox style="mso-next-textbox:#_x0000_s1086">
                  <w:txbxContent>
                    <w:p w:rsidR="00A46E13" w:rsidRPr="00B82B55" w:rsidRDefault="00A46E13" w:rsidP="00B37C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Penyebaran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Instrumen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Keterbacaan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Bahan</w:t>
                      </w:r>
                      <w:proofErr w:type="spellEnd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ajar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Siswa</w:t>
                      </w:r>
                      <w:proofErr w:type="spellEnd"/>
                    </w:p>
                    <w:p w:rsidR="00A46E13" w:rsidRPr="00B82B55" w:rsidRDefault="00A46E13" w:rsidP="00B37C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shape id="_x0000_s1087" type="#_x0000_t32" style="position:absolute;left:5134;top:8419;width:1;height:261" o:connectortype="straight"/>
              <v:shape id="_x0000_s1088" type="#_x0000_t32" style="position:absolute;left:3217;top:8680;width:0;height:367" o:connectortype="straight">
                <v:stroke endarrow="block"/>
              </v:shape>
              <v:shape id="_x0000_s1089" type="#_x0000_t32" style="position:absolute;left:7427;top:8680;width:0;height:367" o:connectortype="straight">
                <v:stroke endarrow="block"/>
              </v:shape>
              <v:shape id="_x0000_s1097" type="#_x0000_t32" style="position:absolute;left:5097;top:4615;width:0;height:259" o:connectortype="straight"/>
              <v:rect id="_x0000_s1098" style="position:absolute;left:3605;top:4238;width:3192;height:433">
                <v:textbox>
                  <w:txbxContent>
                    <w:p w:rsidR="00A46E13" w:rsidRPr="00B82B55" w:rsidRDefault="00A46E13" w:rsidP="00B82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Merumuskan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indikator</w:t>
                      </w:r>
                      <w:proofErr w:type="spellEnd"/>
                    </w:p>
                  </w:txbxContent>
                </v:textbox>
              </v:rect>
              <v:shape id="_x0000_s1099" type="#_x0000_t32" style="position:absolute;left:5054;top:3987;width:0;height:251" o:connectortype="straight">
                <v:stroke endarrow="block"/>
              </v:shape>
              <v:rect id="_x0000_s1105" style="position:absolute;left:5880;top:6664;width:2082;height:521">
                <v:textbox style="mso-next-textbox:#_x0000_s1105">
                  <w:txbxContent>
                    <w:p w:rsidR="00A46E13" w:rsidRPr="00B82B55" w:rsidRDefault="00A46E13" w:rsidP="00BB0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82B55">
                        <w:rPr>
                          <w:rFonts w:ascii="Times New Roman" w:hAnsi="Times New Roman" w:cs="Times New Roman"/>
                          <w:sz w:val="24"/>
                        </w:rPr>
                        <w:t>validitas</w:t>
                      </w:r>
                      <w:proofErr w:type="spellEnd"/>
                    </w:p>
                    <w:p w:rsidR="00A46E13" w:rsidRPr="00B82B55" w:rsidRDefault="00A46E13" w:rsidP="00BB0345">
                      <w:pPr>
                        <w:rPr>
                          <w:sz w:val="24"/>
                        </w:rPr>
                      </w:pPr>
                    </w:p>
                    <w:p w:rsidR="00A46E13" w:rsidRPr="00B82B55" w:rsidRDefault="00A46E13" w:rsidP="00BB034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_x0000_s1106" style="position:absolute;left:5666;top:7501;width:2824;height:553">
                <v:textbox>
                  <w:txbxContent>
                    <w:p w:rsidR="00A46E13" w:rsidRPr="00B82B55" w:rsidRDefault="00A46E13" w:rsidP="00BB03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Revisi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>Bahan</w:t>
                      </w:r>
                      <w:proofErr w:type="spellEnd"/>
                      <w:r w:rsidR="0059684A">
                        <w:rPr>
                          <w:rFonts w:ascii="Times New Roman" w:hAnsi="Times New Roman" w:cs="Times New Roman"/>
                          <w:sz w:val="24"/>
                        </w:rPr>
                        <w:t xml:space="preserve"> ajar</w:t>
                      </w:r>
                    </w:p>
                    <w:p w:rsidR="00A46E13" w:rsidRPr="00B82B55" w:rsidRDefault="00A46E13" w:rsidP="00BB034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  <v:shape id="_x0000_s1107" type="#_x0000_t32" style="position:absolute;left:7158;top:6347;width:0;height:317" o:connectortype="straight">
                <v:stroke endarrow="block"/>
              </v:shape>
              <v:shape id="_x0000_s1108" type="#_x0000_t32" style="position:absolute;left:3210;top:7069;width:0;height:400" o:connectortype="straight">
                <v:stroke endarrow="block"/>
              </v:shape>
              <v:shape id="_x0000_s1109" type="#_x0000_t32" style="position:absolute;left:7105;top:7136;width:0;height:400" o:connectortype="straight">
                <v:stroke endarrow="block"/>
              </v:shape>
              <v:shape id="_x0000_s1110" type="#_x0000_t32" style="position:absolute;left:3181;top:8223;width:1;height:196" o:connectortype="straight"/>
              <v:shape id="_x0000_s1111" type="#_x0000_t32" style="position:absolute;left:7105;top:8054;width:0;height:365" o:connectortype="straight"/>
              <v:shape id="_x0000_s1112" type="#_x0000_t32" style="position:absolute;left:3181;top:8421;width:3924;height:0" o:connectortype="straight"/>
            </v:group>
          </v:group>
        </w:pict>
      </w: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C27E3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37.25pt;margin-top:19.7pt;width:66.9pt;height:43.9pt;z-index:251687936" stroked="f">
            <v:textbox>
              <w:txbxContent>
                <w:p w:rsidR="00A46E13" w:rsidRPr="00DD03BD" w:rsidRDefault="00A46E13" w:rsidP="00B37CB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Tahapan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persiapan</w:t>
                  </w:r>
                  <w:proofErr w:type="spellEnd"/>
                </w:p>
              </w:txbxContent>
            </v:textbox>
          </v:rect>
        </w:pict>
      </w:r>
    </w:p>
    <w:p w:rsidR="00B37CB4" w:rsidRPr="0083740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C27E3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89.85pt;margin-top:13.4pt;width:0;height:13.95pt;z-index:251702272" o:connectortype="straight">
            <v:stroke endarrow="block"/>
          </v:shape>
        </w:pict>
      </w:r>
    </w:p>
    <w:p w:rsidR="00B37CB4" w:rsidRPr="00837404" w:rsidRDefault="00BC27E3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left:0;text-align:left;margin-left:-30.2pt;margin-top:24.75pt;width:447pt;height:160.55pt;z-index:251671550">
            <v:stroke dashstyle="dash"/>
          </v:rect>
        </w:pict>
      </w:r>
    </w:p>
    <w:p w:rsidR="00B37CB4" w:rsidRPr="00837404" w:rsidRDefault="00B37CB4" w:rsidP="00B37CB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C27E3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333.3pt;margin-top:8.3pt;width:78.4pt;height:77.9pt;z-index:251689984" stroked="f">
            <v:textbox style="mso-next-textbox:#_x0000_s1065">
              <w:txbxContent>
                <w:p w:rsidR="00A46E13" w:rsidRPr="00DD03BD" w:rsidRDefault="00A46E13" w:rsidP="00B37CB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Tahapan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8C293D">
                    <w:rPr>
                      <w:rFonts w:ascii="Times New Roman" w:hAnsi="Times New Roman" w:cs="Times New Roman"/>
                    </w:rPr>
                    <w:t>pengumpulan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data</w:t>
                  </w:r>
                </w:p>
              </w:txbxContent>
            </v:textbox>
          </v:rect>
        </w:pict>
      </w: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Default="00BC27E3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-30.2pt;margin-top:24.45pt;width:447pt;height:135.65pt;z-index:251670525">
            <v:stroke dashstyle="dash"/>
          </v:rect>
        </w:pict>
      </w:r>
    </w:p>
    <w:p w:rsidR="00B37CB4" w:rsidRPr="00837404" w:rsidRDefault="00BC27E3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328.8pt;margin-top:18.9pt;width:82.9pt;height:98.85pt;z-index:251720704" stroked="f">
            <v:textbox>
              <w:txbxContent>
                <w:p w:rsidR="00A46E13" w:rsidRPr="00DD03BD" w:rsidRDefault="00A46E13" w:rsidP="00B37CB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Pengolahan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Data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PengambilanKesimpulan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Saran</w:t>
                  </w:r>
                </w:p>
              </w:txbxContent>
            </v:textbox>
          </v:rect>
        </w:pict>
      </w: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37CB4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B4" w:rsidRPr="00837404" w:rsidRDefault="00BC27E3" w:rsidP="00B37C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left:0;text-align:left;margin-left:55.7pt;margin-top:36.95pt;width:216.65pt;height:29.9pt;z-index:251725824" stroked="f">
            <v:textbox>
              <w:txbxContent>
                <w:p w:rsidR="00A46E13" w:rsidRPr="00B82B55" w:rsidRDefault="00A46E13" w:rsidP="00B82B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82B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3.2 </w:t>
                  </w:r>
                  <w:proofErr w:type="spellStart"/>
                  <w:r w:rsidRPr="00B82B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Alur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2B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Penelitian</w:t>
                  </w:r>
                  <w:proofErr w:type="spellEnd"/>
                </w:p>
              </w:txbxContent>
            </v:textbox>
          </v:rect>
        </w:pict>
      </w:r>
    </w:p>
    <w:p w:rsidR="00BB0345" w:rsidRDefault="001409A3" w:rsidP="0014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9A3" w:rsidRDefault="001409A3" w:rsidP="0014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3C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</w:t>
      </w:r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1409A3" w:rsidRPr="00915F3F" w:rsidRDefault="00915F3F" w:rsidP="001409A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p w:rsidR="00321151" w:rsidRDefault="002A2F75" w:rsidP="002A2F7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1151">
        <w:rPr>
          <w:rFonts w:ascii="Times New Roman" w:hAnsi="Times New Roman" w:cs="Times New Roman"/>
          <w:sz w:val="24"/>
          <w:szCs w:val="24"/>
        </w:rPr>
        <w:t>tandar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21151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21151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21151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standarisi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-basa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dikembangkankan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15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15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EA2" w:rsidRDefault="00FF5EA2" w:rsidP="0032115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2115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</w:t>
      </w:r>
      <w:r w:rsidR="00321151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3211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15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 w:rsidR="003211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1151">
        <w:rPr>
          <w:rFonts w:ascii="Times New Roman" w:hAnsi="Times New Roman" w:cs="Times New Roman"/>
          <w:sz w:val="24"/>
          <w:szCs w:val="24"/>
        </w:rPr>
        <w:t>n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211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keesensialnya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strukturisasi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E8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mengkarakterisasi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A46E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7338C">
        <w:rPr>
          <w:rFonts w:ascii="Times New Roman" w:hAnsi="Times New Roman" w:cs="Times New Roman"/>
          <w:sz w:val="24"/>
          <w:szCs w:val="24"/>
        </w:rPr>
        <w:t>ulit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="0067338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73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3EB" w:rsidRDefault="00EB23EB" w:rsidP="0032115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84A" w:rsidRDefault="0059684A" w:rsidP="0032115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84A" w:rsidRDefault="0059684A" w:rsidP="0032115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EB" w:rsidRDefault="00EB23EB" w:rsidP="0032115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09A3" w:rsidRPr="00915F3F" w:rsidRDefault="00915F3F" w:rsidP="0085043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A4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915F3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57007" w:rsidRDefault="00C57007" w:rsidP="00C5700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850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43C">
        <w:rPr>
          <w:rFonts w:ascii="Times New Roman" w:hAnsi="Times New Roman" w:cs="Times New Roman"/>
          <w:sz w:val="24"/>
          <w:szCs w:val="24"/>
        </w:rPr>
        <w:t>t</w:t>
      </w:r>
      <w:r w:rsidR="00404CBD">
        <w:rPr>
          <w:rFonts w:ascii="Times New Roman" w:hAnsi="Times New Roman" w:cs="Times New Roman"/>
          <w:sz w:val="24"/>
          <w:szCs w:val="24"/>
        </w:rPr>
        <w:t>ahapan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BD">
        <w:rPr>
          <w:rFonts w:ascii="Times New Roman" w:hAnsi="Times New Roman" w:cs="Times New Roman"/>
          <w:sz w:val="24"/>
          <w:szCs w:val="24"/>
        </w:rPr>
        <w:t>selanjut</w:t>
      </w:r>
      <w:r w:rsidR="004E3C5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5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E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E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E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F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FE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67F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keterbacaanya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CB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13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grafika</w:t>
      </w:r>
      <w:r w:rsidR="00A46E1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76F" w:rsidRDefault="00EE376F" w:rsidP="00C5700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F75" w:rsidRPr="00915F3F" w:rsidRDefault="00915F3F" w:rsidP="001409A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TahapPengolahan</w:t>
      </w:r>
      <w:proofErr w:type="spellEnd"/>
      <w:r w:rsidRPr="00915F3F">
        <w:rPr>
          <w:rFonts w:ascii="Times New Roman" w:hAnsi="Times New Roman" w:cs="Times New Roman"/>
          <w:b/>
          <w:sz w:val="24"/>
          <w:szCs w:val="24"/>
        </w:rPr>
        <w:t xml:space="preserve"> Data Dan </w:t>
      </w: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PengambilanKesimpulan</w:t>
      </w:r>
      <w:proofErr w:type="spellEnd"/>
    </w:p>
    <w:p w:rsidR="00C57007" w:rsidRPr="00321151" w:rsidRDefault="00C57007" w:rsidP="00C5700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</w:t>
      </w:r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007" w:rsidRDefault="00C57007" w:rsidP="00C570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007" w:rsidRPr="00915F3F" w:rsidRDefault="00C57007" w:rsidP="007B2FE5">
      <w:pPr>
        <w:pStyle w:val="ListParagraph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InstrumenPenelitian</w:t>
      </w:r>
      <w:proofErr w:type="spellEnd"/>
    </w:p>
    <w:p w:rsidR="00915F3F" w:rsidRPr="0085043C" w:rsidRDefault="00C57007" w:rsidP="007B2FE5">
      <w:pPr>
        <w:spacing w:after="0" w:line="36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43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(20</w:t>
      </w:r>
      <w:r w:rsidR="00EE376F" w:rsidRPr="0085043C">
        <w:rPr>
          <w:rFonts w:ascii="Times New Roman" w:hAnsi="Times New Roman" w:cs="Times New Roman"/>
          <w:sz w:val="24"/>
          <w:szCs w:val="24"/>
        </w:rPr>
        <w:t xml:space="preserve">06) </w:t>
      </w:r>
      <w:proofErr w:type="spellStart"/>
      <w:r w:rsidR="00EE376F" w:rsidRPr="0085043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 w:rsidRPr="008504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43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r w:rsidRPr="0085043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r w:rsidRPr="0085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ditentuka</w:t>
      </w:r>
      <w:r w:rsidR="00636F58" w:rsidRPr="0085043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>.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Instumen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4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2FE5" w:rsidRDefault="007B2FE5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A4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E13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="00A4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C62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</w:p>
    <w:p w:rsidR="007B2FE5" w:rsidRPr="00DC4A8A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D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30">
        <w:rPr>
          <w:rFonts w:ascii="Times New Roman" w:hAnsi="Times New Roman" w:cs="Times New Roman"/>
          <w:sz w:val="24"/>
          <w:szCs w:val="24"/>
        </w:rPr>
        <w:t>a</w:t>
      </w:r>
      <w:r w:rsidR="00A46E13" w:rsidRPr="00015730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="00A4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93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 w:rsidRPr="00993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9938DF">
        <w:rPr>
          <w:rFonts w:ascii="Times New Roman" w:hAnsi="Times New Roman" w:cs="Times New Roman"/>
          <w:color w:val="000000" w:themeColor="text1"/>
          <w:sz w:val="24"/>
          <w:szCs w:val="24"/>
        </w:rPr>
        <w:t>eakuratan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8DF">
        <w:rPr>
          <w:rFonts w:ascii="Times New Roman" w:hAnsi="Times New Roman" w:cs="Times New Roman"/>
          <w:color w:val="000000" w:themeColor="text1"/>
          <w:sz w:val="24"/>
          <w:szCs w:val="24"/>
        </w:rPr>
        <w:t>konse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kemutakhiran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F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FE5" w:rsidRDefault="007B2FE5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ECA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015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015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</w:p>
    <w:p w:rsidR="007B2FE5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0EC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13" w:rsidRPr="00A46E1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4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keruntutan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formatif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kesesuian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kimia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merangsang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keterlibatan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partisipas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etertautan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alinea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eutuhan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4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/sub 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alinea</w:t>
      </w:r>
      <w:proofErr w:type="spellEnd"/>
      <w:r w:rsidRPr="00610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B2FE5" w:rsidRPr="00610ECA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FB4" w:rsidRDefault="002F6FB4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B1C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E0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Kebahasaan</w:t>
      </w:r>
      <w:proofErr w:type="spellEnd"/>
    </w:p>
    <w:p w:rsidR="00CB2459" w:rsidRPr="00CB2459" w:rsidRDefault="00CB2459" w:rsidP="00CB2459">
      <w:pPr>
        <w:spacing w:after="0" w:line="360" w:lineRule="auto"/>
        <w:ind w:left="851"/>
        <w:jc w:val="both"/>
      </w:pPr>
      <w:proofErr w:type="spellStart"/>
      <w:r w:rsidRPr="00CB245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1C" w:rsidRPr="00A46E1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ketepatan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tata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ketepatan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ejaan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kebakuan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istilah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konsistensi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istilah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simbol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B2459">
        <w:rPr>
          <w:rFonts w:ascii="Times New Roman" w:hAnsi="Times New Roman"/>
          <w:sz w:val="24"/>
          <w:szCs w:val="24"/>
        </w:rPr>
        <w:t>keefektifan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459">
        <w:rPr>
          <w:rFonts w:ascii="Times New Roman" w:hAnsi="Times New Roman"/>
          <w:sz w:val="24"/>
          <w:szCs w:val="24"/>
        </w:rPr>
        <w:t>kemudahan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pesan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atau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informasi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dipahami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459">
        <w:rPr>
          <w:rFonts w:ascii="Times New Roman" w:hAnsi="Times New Roman"/>
          <w:sz w:val="24"/>
          <w:szCs w:val="24"/>
        </w:rPr>
        <w:t>kesesuaian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bahasa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dengan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tingkat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perkembangan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emosional</w:t>
      </w:r>
      <w:proofErr w:type="spellEnd"/>
      <w:r w:rsidR="00E03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kesesuaian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tingkat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perkembangan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intelektual</w:t>
      </w:r>
      <w:proofErr w:type="spellEnd"/>
      <w:r w:rsidR="00E03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2459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2FE5" w:rsidRDefault="007B2FE5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B1C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E0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E52C62">
        <w:rPr>
          <w:rFonts w:ascii="Times New Roman" w:hAnsi="Times New Roman" w:cs="Times New Roman"/>
          <w:b/>
          <w:sz w:val="24"/>
          <w:szCs w:val="24"/>
        </w:rPr>
        <w:t>grafika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7B2FE5" w:rsidRPr="007C2929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92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3B1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1C">
        <w:rPr>
          <w:rFonts w:ascii="Times New Roman" w:hAnsi="Times New Roman" w:cs="Times New Roman"/>
          <w:sz w:val="24"/>
          <w:szCs w:val="24"/>
        </w:rPr>
        <w:t>Kegrafikan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ajar,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paragraph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(</w:t>
      </w:r>
      <w:r w:rsidRPr="007C2929">
        <w:rPr>
          <w:rFonts w:ascii="Times New Roman" w:hAnsi="Times New Roman" w:cs="Times New Roman"/>
          <w:i/>
          <w:iCs/>
          <w:sz w:val="24"/>
          <w:szCs w:val="24"/>
        </w:rPr>
        <w:t>caption</w:t>
      </w:r>
      <w:r w:rsidRPr="007C29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2929">
        <w:rPr>
          <w:rFonts w:ascii="Times New Roman" w:hAnsi="Times New Roman" w:cs="Times New Roman"/>
          <w:sz w:val="24"/>
          <w:szCs w:val="24"/>
        </w:rPr>
        <w:t xml:space="preserve"> (</w:t>
      </w:r>
      <w:r w:rsidRPr="007C2929">
        <w:rPr>
          <w:rFonts w:ascii="Times New Roman" w:hAnsi="Times New Roman" w:cs="Times New Roman"/>
          <w:i/>
          <w:iCs/>
          <w:sz w:val="24"/>
          <w:szCs w:val="24"/>
        </w:rPr>
        <w:t>bold, italic, all capital, small capital</w:t>
      </w:r>
      <w:r w:rsidRPr="007C29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29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FE5" w:rsidRDefault="007B2FE5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015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C62">
        <w:rPr>
          <w:rFonts w:ascii="Times New Roman" w:hAnsi="Times New Roman" w:cs="Times New Roman"/>
          <w:b/>
          <w:sz w:val="24"/>
          <w:szCs w:val="24"/>
        </w:rPr>
        <w:t>keterbacaan</w:t>
      </w:r>
      <w:proofErr w:type="spellEnd"/>
    </w:p>
    <w:p w:rsidR="007B2FE5" w:rsidRPr="00010EAD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0EA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Ajar</w:t>
      </w:r>
      <w:r w:rsidRPr="0001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sehinggadiperoleh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FE5" w:rsidRDefault="007B2FE5" w:rsidP="007B2FE5">
      <w:pPr>
        <w:pStyle w:val="ListParagraph"/>
        <w:numPr>
          <w:ilvl w:val="0"/>
          <w:numId w:val="9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57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7B2FE5" w:rsidRPr="00010EAD" w:rsidRDefault="007B2FE5" w:rsidP="007B2FE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E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</w:t>
      </w:r>
      <w:r w:rsidRPr="00015730">
        <w:rPr>
          <w:rFonts w:ascii="Times New Roman" w:hAnsi="Times New Roman" w:cs="Times New Roman"/>
          <w:i/>
          <w:sz w:val="24"/>
          <w:szCs w:val="24"/>
        </w:rPr>
        <w:t>interview</w:t>
      </w:r>
      <w:r w:rsidRPr="0001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9684A">
        <w:rPr>
          <w:rFonts w:ascii="Times New Roman" w:hAnsi="Times New Roman" w:cs="Times New Roman"/>
          <w:sz w:val="24"/>
          <w:szCs w:val="24"/>
        </w:rPr>
        <w:t>1988</w:t>
      </w:r>
      <w:proofErr w:type="gramEnd"/>
      <w:r w:rsidRPr="00010EA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10E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E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AD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Pr="0001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80F" w:rsidRPr="00EB23EB" w:rsidRDefault="00DF080F" w:rsidP="00EB2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57" w:rsidRPr="00915F3F" w:rsidRDefault="00DF080F" w:rsidP="00356A5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Teknik</w:t>
      </w:r>
      <w:r w:rsidR="00C24D05" w:rsidRPr="00915F3F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C24D05" w:rsidRPr="00915F3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F080F" w:rsidRPr="0085043C" w:rsidRDefault="00DF080F" w:rsidP="0085043C">
      <w:pPr>
        <w:spacing w:after="120" w:line="36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0F" w:rsidRPr="0085043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0F" w:rsidRPr="0085043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4B0F" w:rsidRPr="0085043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64B0F" w:rsidRPr="008504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B0F" w:rsidRDefault="00164B0F" w:rsidP="00164B0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4A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E1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E03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B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4CC" w:rsidRDefault="007D34CC" w:rsidP="00164B0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FE5" w:rsidRPr="00774721" w:rsidRDefault="007B2FE5" w:rsidP="007B2FE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1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ke</w:t>
      </w:r>
      <w:r w:rsidRPr="007B532E">
        <w:rPr>
          <w:rFonts w:ascii="Times New Roman" w:hAnsi="Times New Roman" w:cs="Times New Roman"/>
          <w:sz w:val="24"/>
          <w:szCs w:val="24"/>
        </w:rPr>
        <w:t>bahasa</w:t>
      </w:r>
      <w:r w:rsidR="00C170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Pr="007B532E">
        <w:rPr>
          <w:rFonts w:ascii="Times New Roman" w:hAnsi="Times New Roman" w:cs="Times New Roman"/>
          <w:sz w:val="24"/>
          <w:szCs w:val="24"/>
        </w:rPr>
        <w:t>grafika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4A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r w:rsidRPr="007B53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r w:rsidRPr="007B532E">
        <w:rPr>
          <w:rFonts w:ascii="Times New Roman" w:hAnsi="Times New Roman" w:cs="Times New Roman"/>
          <w:sz w:val="24"/>
          <w:szCs w:val="24"/>
        </w:rPr>
        <w:t xml:space="preserve">guru.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r w:rsidR="00C17079">
        <w:rPr>
          <w:rFonts w:ascii="Times New Roman" w:hAnsi="Times New Roman" w:cs="Times New Roman"/>
          <w:sz w:val="24"/>
          <w:szCs w:val="24"/>
        </w:rPr>
        <w:t>2000</w:t>
      </w:r>
      <w:r w:rsidRPr="006B2D79">
        <w:rPr>
          <w:rFonts w:ascii="Times New Roman" w:hAnsi="Times New Roman" w:cs="Times New Roman"/>
          <w:sz w:val="24"/>
          <w:szCs w:val="24"/>
        </w:rPr>
        <w:t>)</w:t>
      </w:r>
      <w:r w:rsidRPr="007B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7B53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B532E">
        <w:rPr>
          <w:rFonts w:ascii="Times New Roman" w:hAnsi="Times New Roman" w:cs="Times New Roman"/>
          <w:sz w:val="24"/>
          <w:szCs w:val="24"/>
        </w:rPr>
        <w:t>.</w:t>
      </w:r>
    </w:p>
    <w:p w:rsidR="00164B0F" w:rsidRDefault="00164B0F" w:rsidP="00164B0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CC">
        <w:rPr>
          <w:rFonts w:ascii="Times New Roman" w:hAnsi="Times New Roman" w:cs="Times New Roman"/>
          <w:sz w:val="24"/>
          <w:szCs w:val="24"/>
        </w:rPr>
        <w:t>persep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CC">
        <w:rPr>
          <w:rFonts w:ascii="Times New Roman" w:hAnsi="Times New Roman" w:cs="Times New Roman"/>
          <w:sz w:val="24"/>
          <w:szCs w:val="24"/>
        </w:rPr>
        <w:t>sisiswa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3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4CC">
        <w:rPr>
          <w:rFonts w:ascii="Times New Roman" w:hAnsi="Times New Roman" w:cs="Times New Roman"/>
          <w:sz w:val="24"/>
          <w:szCs w:val="24"/>
        </w:rPr>
        <w:t xml:space="preserve">guru </w:t>
      </w:r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E1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r w:rsidR="00F61E1F">
        <w:rPr>
          <w:rFonts w:ascii="Times New Roman" w:hAnsi="Times New Roman" w:cs="Times New Roman"/>
          <w:sz w:val="24"/>
          <w:szCs w:val="24"/>
        </w:rPr>
        <w:t>ajar</w:t>
      </w:r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E1F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r w:rsidR="00C170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D34CC"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D05" w:rsidRDefault="00C24D05" w:rsidP="00C24D0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4D05" w:rsidRPr="00915F3F" w:rsidRDefault="00C24D05" w:rsidP="00C2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C17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F3F">
        <w:rPr>
          <w:rFonts w:ascii="Times New Roman" w:hAnsi="Times New Roman" w:cs="Times New Roman"/>
          <w:b/>
          <w:sz w:val="24"/>
          <w:szCs w:val="24"/>
        </w:rPr>
        <w:t>Pengolahan</w:t>
      </w:r>
      <w:proofErr w:type="spellEnd"/>
      <w:r w:rsidRPr="00915F3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B96868" w:rsidRPr="0085043C" w:rsidRDefault="00356A57" w:rsidP="0085043C">
      <w:pPr>
        <w:spacing w:after="0" w:line="36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43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8504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4A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3C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6215F2" w:rsidRDefault="00356A57" w:rsidP="00356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B0"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4A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FB0" w:rsidRDefault="006215F2" w:rsidP="00F02F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proofErr w:type="gram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30">
        <w:rPr>
          <w:rFonts w:ascii="Times New Roman" w:hAnsi="Times New Roman" w:cs="Times New Roman"/>
          <w:sz w:val="24"/>
          <w:szCs w:val="24"/>
        </w:rPr>
        <w:t>k</w:t>
      </w:r>
      <w:r w:rsidR="00C17079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868" w:rsidRDefault="00356A57" w:rsidP="00F02F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FB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F02FB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B0">
        <w:rPr>
          <w:rFonts w:ascii="Times New Roman" w:hAnsi="Times New Roman" w:cs="Times New Roman"/>
          <w:sz w:val="24"/>
          <w:szCs w:val="24"/>
        </w:rPr>
        <w:t>asam</w:t>
      </w:r>
      <w:r w:rsidR="00C17079">
        <w:rPr>
          <w:rFonts w:ascii="Times New Roman" w:hAnsi="Times New Roman" w:cs="Times New Roman"/>
          <w:sz w:val="24"/>
          <w:szCs w:val="24"/>
        </w:rPr>
        <w:t>-</w:t>
      </w:r>
      <w:r w:rsidRPr="00F02FB0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F02FB0">
        <w:rPr>
          <w:rFonts w:ascii="Times New Roman" w:hAnsi="Times New Roman" w:cs="Times New Roman"/>
          <w:sz w:val="24"/>
          <w:szCs w:val="24"/>
        </w:rPr>
        <w:t>.</w:t>
      </w:r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061868" w:rsidRPr="00F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61868" w:rsidRPr="00F02F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68" w:rsidRPr="00F02F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61868" w:rsidRPr="00F02FB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61868" w:rsidRDefault="00061868" w:rsidP="00EB23EB">
      <w:pPr>
        <w:spacing w:after="0" w:line="360" w:lineRule="auto"/>
        <w:ind w:firstLine="13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3.1.TafsiranPersentase</w:t>
      </w:r>
      <w:r w:rsidR="00EB23EB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="00EB23EB">
        <w:rPr>
          <w:rFonts w:ascii="Times New Roman" w:hAnsi="Times New Roman" w:cs="Times New Roman"/>
          <w:b/>
          <w:sz w:val="24"/>
          <w:szCs w:val="24"/>
        </w:rPr>
        <w:t>Keterbacaan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30"/>
        <w:gridCol w:w="3386"/>
      </w:tblGrid>
      <w:tr w:rsidR="00061868" w:rsidTr="00F61E1F">
        <w:tc>
          <w:tcPr>
            <w:tcW w:w="4788" w:type="dxa"/>
            <w:vAlign w:val="center"/>
          </w:tcPr>
          <w:p w:rsidR="00061868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4788" w:type="dxa"/>
            <w:vAlign w:val="center"/>
          </w:tcPr>
          <w:p w:rsidR="00061868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Tafsiran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1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1% - 25%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 xml:space="preserve"> Kecil</w:t>
            </w:r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26% - 49%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="00C1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Setengahnya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Setengahnya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51% - 75%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C1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76% - 99%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="00C1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</w:p>
        </w:tc>
      </w:tr>
      <w:tr w:rsidR="00061868" w:rsidTr="00F61E1F"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88" w:type="dxa"/>
            <w:vAlign w:val="center"/>
          </w:tcPr>
          <w:p w:rsidR="00061868" w:rsidRPr="00E22CC7" w:rsidRDefault="00061868" w:rsidP="00F61E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C7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</w:p>
        </w:tc>
      </w:tr>
    </w:tbl>
    <w:p w:rsidR="00061868" w:rsidRDefault="00061868" w:rsidP="00061868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06F">
        <w:rPr>
          <w:rFonts w:ascii="Times New Roman" w:hAnsi="Times New Roman" w:cs="Times New Roman"/>
          <w:b/>
          <w:sz w:val="24"/>
          <w:szCs w:val="24"/>
        </w:rPr>
        <w:t>Koenjtaraningrat</w:t>
      </w:r>
      <w:proofErr w:type="spellEnd"/>
      <w:r w:rsidR="00C17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17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(2011)</w:t>
      </w:r>
    </w:p>
    <w:p w:rsidR="00356A57" w:rsidRDefault="00356A57" w:rsidP="00356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7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1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 1</w:t>
      </w:r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5043C">
        <w:rPr>
          <w:rFonts w:ascii="Times New Roman" w:hAnsi="Times New Roman" w:cs="Times New Roman"/>
          <w:sz w:val="24"/>
          <w:szCs w:val="24"/>
        </w:rPr>
        <w:t>s</w:t>
      </w:r>
      <w:r w:rsidR="000A6C40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A2F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A2F8D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7A2F8D" w:rsidRDefault="007A2F8D" w:rsidP="00356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EE376F">
        <w:rPr>
          <w:rFonts w:ascii="Times New Roman" w:hAnsi="Times New Roman" w:cs="Times New Roman"/>
          <w:sz w:val="24"/>
          <w:szCs w:val="24"/>
        </w:rPr>
        <w:t>nghitung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4A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asam</w:t>
      </w:r>
      <w:r w:rsidR="000A6C40">
        <w:rPr>
          <w:rFonts w:ascii="Times New Roman" w:hAnsi="Times New Roman" w:cs="Times New Roman"/>
          <w:sz w:val="24"/>
          <w:szCs w:val="24"/>
        </w:rPr>
        <w:t>-</w:t>
      </w:r>
      <w:r w:rsidR="00EE376F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>.</w:t>
      </w:r>
    </w:p>
    <w:p w:rsidR="005D663A" w:rsidRDefault="005D663A" w:rsidP="00356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</w:t>
      </w:r>
      <w:r w:rsidR="00EE376F">
        <w:rPr>
          <w:rFonts w:ascii="Times New Roman" w:hAnsi="Times New Roman" w:cs="Times New Roman"/>
          <w:sz w:val="24"/>
          <w:szCs w:val="24"/>
        </w:rPr>
        <w:t>asilkan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37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6F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4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9684A">
        <w:rPr>
          <w:rFonts w:ascii="Times New Roman" w:hAnsi="Times New Roman" w:cs="Times New Roman"/>
          <w:sz w:val="24"/>
          <w:szCs w:val="24"/>
        </w:rPr>
        <w:t xml:space="preserve"> 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F8D" w:rsidRPr="00DB7DB5" w:rsidRDefault="007A2F8D" w:rsidP="00C3288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A2F8D" w:rsidRPr="00DB7DB5" w:rsidSect="0059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108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E3" w:rsidRDefault="00BC27E3" w:rsidP="004C02B3">
      <w:pPr>
        <w:spacing w:after="0" w:line="240" w:lineRule="auto"/>
      </w:pPr>
      <w:r>
        <w:separator/>
      </w:r>
    </w:p>
  </w:endnote>
  <w:endnote w:type="continuationSeparator" w:id="0">
    <w:p w:rsidR="00BC27E3" w:rsidRDefault="00BC27E3" w:rsidP="004C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A0" w:rsidRDefault="004A4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A0" w:rsidRPr="004A4DA0" w:rsidRDefault="004A4DA0" w:rsidP="004A4DA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</w:p>
  <w:p w:rsidR="004A4DA0" w:rsidRPr="004A4DA0" w:rsidRDefault="004A4DA0" w:rsidP="004A4DA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  <w:r w:rsidRPr="004A4DA0">
      <w:rPr>
        <w:rFonts w:ascii="Trebuchet MS" w:eastAsiaTheme="minorEastAsia" w:hAnsi="Trebuchet MS" w:cs="Trebuchet MS"/>
        <w:b/>
        <w:bCs/>
        <w:sz w:val="18"/>
        <w:szCs w:val="18"/>
        <w:lang w:val="id-ID"/>
      </w:rPr>
      <w:t>Endang Murpratiwi Rahayu 2014</w:t>
    </w:r>
  </w:p>
  <w:p w:rsidR="004A4DA0" w:rsidRPr="004A4DA0" w:rsidRDefault="004A4DA0" w:rsidP="004A4DA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</w:pPr>
    <w:r w:rsidRPr="004A4DA0"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  <w:t>Pengembangan bahan ajar pokok bahasan titrasi asam basa yang diolah dengan empat tahap pengolahan bahan ajar (ETPBA)</w:t>
    </w:r>
  </w:p>
  <w:p w:rsidR="004A4DA0" w:rsidRPr="004A4DA0" w:rsidRDefault="004A4DA0" w:rsidP="004A4DA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sz w:val="18"/>
        <w:szCs w:val="18"/>
        <w:lang w:val="id-ID"/>
      </w:rPr>
    </w:pPr>
    <w:r w:rsidRPr="004A4DA0">
      <w:rPr>
        <w:rFonts w:ascii="Trebuchet MS" w:eastAsiaTheme="minorEastAsia" w:hAnsi="Trebuchet MS" w:cs="Trebuchet MS"/>
        <w:sz w:val="18"/>
        <w:szCs w:val="18"/>
        <w:lang w:val="id-ID"/>
      </w:rPr>
      <w:t xml:space="preserve">Universitas Pendidikan Indonesia </w:t>
    </w:r>
    <w:r w:rsidRPr="004A4DA0">
      <w:rPr>
        <w:rFonts w:ascii="Trebuchet MS" w:eastAsiaTheme="minorEastAsia" w:hAnsi="Trebuchet MS" w:cs="Trebuchet MS"/>
        <w:b/>
        <w:bCs/>
        <w:color w:val="FFC000"/>
        <w:sz w:val="18"/>
        <w:szCs w:val="18"/>
        <w:lang w:val="id-ID"/>
      </w:rPr>
      <w:t>|</w:t>
    </w:r>
    <w:r w:rsidRPr="004A4DA0">
      <w:rPr>
        <w:rFonts w:ascii="Trebuchet MS" w:eastAsiaTheme="minorEastAsia" w:hAnsi="Trebuchet MS" w:cs="Trebuchet MS"/>
        <w:sz w:val="18"/>
        <w:szCs w:val="18"/>
        <w:lang w:val="id-ID"/>
      </w:rPr>
      <w:t xml:space="preserve"> repository.upi.edu </w:t>
    </w:r>
    <w:r w:rsidRPr="004A4DA0">
      <w:rPr>
        <w:rFonts w:ascii="Trebuchet MS" w:eastAsiaTheme="minorEastAsia" w:hAnsi="Trebuchet MS" w:cs="Trebuchet MS"/>
        <w:color w:val="FFC000"/>
        <w:sz w:val="18"/>
        <w:szCs w:val="18"/>
        <w:lang w:val="id-ID"/>
      </w:rPr>
      <w:t>|</w:t>
    </w:r>
    <w:r w:rsidRPr="004A4DA0">
      <w:rPr>
        <w:rFonts w:ascii="Trebuchet MS" w:eastAsiaTheme="minorEastAsia" w:hAnsi="Trebuchet MS" w:cs="Trebuchet MS"/>
        <w:sz w:val="18"/>
        <w:szCs w:val="18"/>
        <w:lang w:val="id-ID"/>
      </w:rPr>
      <w:t xml:space="preserve"> perpustakaan.upi.edu</w:t>
    </w:r>
  </w:p>
  <w:p w:rsidR="004A4DA0" w:rsidRPr="004A4DA0" w:rsidRDefault="004A4DA0" w:rsidP="004A4DA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:rsidR="004A4DA0" w:rsidRDefault="004A4DA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A0" w:rsidRDefault="004A4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E3" w:rsidRDefault="00BC27E3" w:rsidP="004C02B3">
      <w:pPr>
        <w:spacing w:after="0" w:line="240" w:lineRule="auto"/>
      </w:pPr>
      <w:r>
        <w:separator/>
      </w:r>
    </w:p>
  </w:footnote>
  <w:footnote w:type="continuationSeparator" w:id="0">
    <w:p w:rsidR="00BC27E3" w:rsidRDefault="00BC27E3" w:rsidP="004C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A0" w:rsidRDefault="004A4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132"/>
      <w:docPartObj>
        <w:docPartGallery w:val="Page Numbers (Top of Page)"/>
        <w:docPartUnique/>
      </w:docPartObj>
    </w:sdtPr>
    <w:sdtEndPr/>
    <w:sdtContent>
      <w:p w:rsidR="00A46E13" w:rsidRDefault="00BC27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DA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46E13" w:rsidRDefault="00A46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A0" w:rsidRDefault="004A4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8C5"/>
    <w:multiLevelType w:val="hybridMultilevel"/>
    <w:tmpl w:val="D706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0096"/>
    <w:multiLevelType w:val="hybridMultilevel"/>
    <w:tmpl w:val="8EDC0366"/>
    <w:lvl w:ilvl="0" w:tplc="D8E2D60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B41E68"/>
    <w:multiLevelType w:val="hybridMultilevel"/>
    <w:tmpl w:val="2872217C"/>
    <w:lvl w:ilvl="0" w:tplc="43A6C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A16D44"/>
    <w:multiLevelType w:val="hybridMultilevel"/>
    <w:tmpl w:val="DD4C49DC"/>
    <w:lvl w:ilvl="0" w:tplc="832831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D0B6F"/>
    <w:multiLevelType w:val="hybridMultilevel"/>
    <w:tmpl w:val="E3D04FB6"/>
    <w:lvl w:ilvl="0" w:tplc="2070E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41694"/>
    <w:multiLevelType w:val="hybridMultilevel"/>
    <w:tmpl w:val="589C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5488"/>
    <w:multiLevelType w:val="hybridMultilevel"/>
    <w:tmpl w:val="0E82D3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35F4E"/>
    <w:multiLevelType w:val="hybridMultilevel"/>
    <w:tmpl w:val="0018E652"/>
    <w:lvl w:ilvl="0" w:tplc="4FEA3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D64D1B"/>
    <w:multiLevelType w:val="hybridMultilevel"/>
    <w:tmpl w:val="CCB02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3A05"/>
    <w:multiLevelType w:val="hybridMultilevel"/>
    <w:tmpl w:val="1DAEFC80"/>
    <w:lvl w:ilvl="0" w:tplc="AACC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B5"/>
    <w:rsid w:val="00015730"/>
    <w:rsid w:val="00017C92"/>
    <w:rsid w:val="00037157"/>
    <w:rsid w:val="000460CE"/>
    <w:rsid w:val="00061868"/>
    <w:rsid w:val="0007758B"/>
    <w:rsid w:val="00085BB0"/>
    <w:rsid w:val="000A6C40"/>
    <w:rsid w:val="000C6F19"/>
    <w:rsid w:val="001409A3"/>
    <w:rsid w:val="00164B0F"/>
    <w:rsid w:val="00177969"/>
    <w:rsid w:val="00196157"/>
    <w:rsid w:val="001A2AE8"/>
    <w:rsid w:val="001E41A1"/>
    <w:rsid w:val="002730F6"/>
    <w:rsid w:val="00294904"/>
    <w:rsid w:val="002A2F75"/>
    <w:rsid w:val="002F6FB4"/>
    <w:rsid w:val="0031311D"/>
    <w:rsid w:val="00321151"/>
    <w:rsid w:val="00356A57"/>
    <w:rsid w:val="00382C1A"/>
    <w:rsid w:val="003B52CD"/>
    <w:rsid w:val="003E564E"/>
    <w:rsid w:val="00404CBD"/>
    <w:rsid w:val="00410143"/>
    <w:rsid w:val="004A4DA0"/>
    <w:rsid w:val="004A5590"/>
    <w:rsid w:val="004C02B3"/>
    <w:rsid w:val="004E2337"/>
    <w:rsid w:val="004E3C5C"/>
    <w:rsid w:val="004F4C13"/>
    <w:rsid w:val="00522AD1"/>
    <w:rsid w:val="0059684A"/>
    <w:rsid w:val="005D663A"/>
    <w:rsid w:val="00602810"/>
    <w:rsid w:val="00607D97"/>
    <w:rsid w:val="006215F2"/>
    <w:rsid w:val="00636F58"/>
    <w:rsid w:val="00647305"/>
    <w:rsid w:val="0067338C"/>
    <w:rsid w:val="006A52F6"/>
    <w:rsid w:val="006B364C"/>
    <w:rsid w:val="006C38B2"/>
    <w:rsid w:val="007A2F8D"/>
    <w:rsid w:val="007B2FE5"/>
    <w:rsid w:val="007B5476"/>
    <w:rsid w:val="007D34CC"/>
    <w:rsid w:val="007D489A"/>
    <w:rsid w:val="00825CAB"/>
    <w:rsid w:val="008477A7"/>
    <w:rsid w:val="0085043C"/>
    <w:rsid w:val="0086265A"/>
    <w:rsid w:val="008C293D"/>
    <w:rsid w:val="008E370E"/>
    <w:rsid w:val="008F3936"/>
    <w:rsid w:val="00915F3F"/>
    <w:rsid w:val="00922F83"/>
    <w:rsid w:val="009234F9"/>
    <w:rsid w:val="0094553B"/>
    <w:rsid w:val="0096019E"/>
    <w:rsid w:val="00964D3A"/>
    <w:rsid w:val="00976CA6"/>
    <w:rsid w:val="009877BF"/>
    <w:rsid w:val="009E45A8"/>
    <w:rsid w:val="009F578F"/>
    <w:rsid w:val="009F5CE4"/>
    <w:rsid w:val="00A46E13"/>
    <w:rsid w:val="00AE4452"/>
    <w:rsid w:val="00B37CB4"/>
    <w:rsid w:val="00B40864"/>
    <w:rsid w:val="00B5650B"/>
    <w:rsid w:val="00B82B55"/>
    <w:rsid w:val="00B94BBE"/>
    <w:rsid w:val="00B96868"/>
    <w:rsid w:val="00BA7519"/>
    <w:rsid w:val="00BB0345"/>
    <w:rsid w:val="00BB1B28"/>
    <w:rsid w:val="00BB58E6"/>
    <w:rsid w:val="00BC27E3"/>
    <w:rsid w:val="00C10B91"/>
    <w:rsid w:val="00C17079"/>
    <w:rsid w:val="00C24D05"/>
    <w:rsid w:val="00C3288A"/>
    <w:rsid w:val="00C57007"/>
    <w:rsid w:val="00C6601B"/>
    <w:rsid w:val="00C84159"/>
    <w:rsid w:val="00CB2459"/>
    <w:rsid w:val="00CE1467"/>
    <w:rsid w:val="00D424CD"/>
    <w:rsid w:val="00DB7DB5"/>
    <w:rsid w:val="00DC15BF"/>
    <w:rsid w:val="00DF080F"/>
    <w:rsid w:val="00DF7897"/>
    <w:rsid w:val="00E03B1C"/>
    <w:rsid w:val="00E0460C"/>
    <w:rsid w:val="00E14213"/>
    <w:rsid w:val="00E67FED"/>
    <w:rsid w:val="00E83F4F"/>
    <w:rsid w:val="00EA28C1"/>
    <w:rsid w:val="00EB23EB"/>
    <w:rsid w:val="00EE376F"/>
    <w:rsid w:val="00F02FB0"/>
    <w:rsid w:val="00F10C77"/>
    <w:rsid w:val="00F25936"/>
    <w:rsid w:val="00F61E1F"/>
    <w:rsid w:val="00FA2DEB"/>
    <w:rsid w:val="00FF30DF"/>
    <w:rsid w:val="00FF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89"/>
        <o:r id="V:Rule2" type="connector" idref="#_x0000_s1107"/>
        <o:r id="V:Rule3" type="connector" idref="#_x0000_s1056"/>
        <o:r id="V:Rule4" type="connector" idref="#_x0000_s1112"/>
        <o:r id="V:Rule5" type="connector" idref="#_x0000_s1076"/>
        <o:r id="V:Rule6" type="connector" idref="#_x0000_s1085"/>
        <o:r id="V:Rule7" type="connector" idref="#_x0000_s1090"/>
        <o:r id="V:Rule8" type="connector" idref="#_x0000_s1087"/>
        <o:r id="V:Rule9" type="connector" idref="#_x0000_s1097"/>
        <o:r id="V:Rule10" type="connector" idref="#_x0000_s1080"/>
        <o:r id="V:Rule11" type="connector" idref="#_x0000_s1049"/>
        <o:r id="V:Rule12" type="connector" idref="#_x0000_s1116"/>
        <o:r id="V:Rule13" type="connector" idref="#_x0000_s1110"/>
        <o:r id="V:Rule14" type="connector" idref="#_x0000_s1109"/>
        <o:r id="V:Rule15" type="connector" idref="#_x0000_s1111"/>
        <o:r id="V:Rule16" type="connector" idref="#_x0000_s1075"/>
        <o:r id="V:Rule17" type="connector" idref="#_x0000_s1091"/>
        <o:r id="V:Rule18" type="connector" idref="#_x0000_s1093"/>
        <o:r id="V:Rule19" type="connector" idref="#_x0000_s1084"/>
        <o:r id="V:Rule20" type="connector" idref="#_x0000_s1078"/>
        <o:r id="V:Rule21" type="connector" idref="#_x0000_s1108"/>
        <o:r id="V:Rule22" type="connector" idref="#_x0000_s1077"/>
        <o:r id="V:Rule23" type="connector" idref="#_x0000_s1092"/>
        <o:r id="V:Rule24" type="connector" idref="#_x0000_s1094"/>
        <o:r id="V:Rule25" type="connector" idref="#_x0000_s1099"/>
        <o:r id="V:Rule26" type="connector" idref="#_x0000_s108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B3"/>
  </w:style>
  <w:style w:type="paragraph" w:styleId="Footer">
    <w:name w:val="footer"/>
    <w:basedOn w:val="Normal"/>
    <w:link w:val="FooterChar"/>
    <w:uiPriority w:val="99"/>
    <w:unhideWhenUsed/>
    <w:rsid w:val="004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2015-01-05T07:05:00Z</cp:lastPrinted>
  <dcterms:created xsi:type="dcterms:W3CDTF">2014-01-16T22:30:00Z</dcterms:created>
  <dcterms:modified xsi:type="dcterms:W3CDTF">2015-01-05T07:05:00Z</dcterms:modified>
</cp:coreProperties>
</file>